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A2" w:rsidRDefault="002B07A2">
      <w:pPr>
        <w:pStyle w:val="af2"/>
        <w:spacing w:before="0" w:beforeAutospacing="0" w:after="0" w:afterAutospacing="0"/>
        <w:ind w:left="567"/>
        <w:jc w:val="center"/>
        <w:rPr>
          <w:rFonts w:ascii="Arial" w:hAnsi="Arial" w:cs="Arial"/>
          <w:color w:val="292C2F"/>
          <w:sz w:val="21"/>
          <w:szCs w:val="21"/>
        </w:rPr>
      </w:pPr>
    </w:p>
    <w:p w:rsidR="002B07A2" w:rsidRDefault="002B07A2">
      <w:r w:rsidRPr="002B07A2">
        <w:rPr>
          <w:rFonts w:ascii="Calibri" w:eastAsia="Calibri" w:hAnsi="Calibri" w:cs="Times New Roman"/>
          <w:b/>
          <w:color w:val="292C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B07A2" w:rsidRDefault="007E274A" w:rsidP="00A950F6">
      <w:pPr>
        <w:pStyle w:val="af2"/>
        <w:spacing w:before="0" w:beforeAutospacing="0" w:after="0" w:afterAutospacing="0"/>
        <w:ind w:firstLine="567"/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В 2024 году благодаря ККР омским Росреестром в ЕГРН внесены</w:t>
      </w:r>
    </w:p>
    <w:p w:rsidR="002B07A2" w:rsidRDefault="007E274A" w:rsidP="00A950F6">
      <w:pPr>
        <w:pStyle w:val="af2"/>
        <w:spacing w:before="0" w:beforeAutospacing="0" w:after="0" w:afterAutospacing="0"/>
        <w:ind w:firstLine="567"/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сведения о 5000 объектов недвижимости и исправлено более 3000</w:t>
      </w:r>
    </w:p>
    <w:p w:rsidR="002B07A2" w:rsidRDefault="007E274A" w:rsidP="00A950F6">
      <w:pPr>
        <w:pStyle w:val="af2"/>
        <w:spacing w:before="0" w:beforeAutospacing="0" w:after="0" w:afterAutospacing="0"/>
        <w:ind w:firstLine="567"/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реестровых ошибок</w:t>
      </w:r>
    </w:p>
    <w:p w:rsidR="002B07A2" w:rsidRDefault="002B07A2">
      <w:pPr>
        <w:pStyle w:val="af2"/>
        <w:spacing w:before="0" w:beforeAutospacing="0" w:after="0" w:afterAutospacing="0"/>
        <w:ind w:firstLine="567"/>
        <w:rPr>
          <w:b/>
          <w:color w:val="292C2F"/>
          <w:sz w:val="28"/>
          <w:szCs w:val="28"/>
        </w:rPr>
      </w:pPr>
    </w:p>
    <w:p w:rsidR="002B07A2" w:rsidRDefault="002B07A2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B07A2" w:rsidRDefault="007E274A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в Омской области к</w:t>
      </w:r>
      <w:r>
        <w:rPr>
          <w:sz w:val="28"/>
          <w:szCs w:val="28"/>
        </w:rPr>
        <w:t>омплексные кадастровые работы (ККР)проведены на территории 14 кадастровых кварталов, 5 из которых расположены на территории города Омска и 9 – на территории Одесского муниципального района Омской области.</w:t>
      </w:r>
      <w:r w:rsidR="00A950F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они были за счет бюджетных средств, без ка</w:t>
      </w:r>
      <w:r>
        <w:rPr>
          <w:sz w:val="28"/>
          <w:szCs w:val="28"/>
        </w:rPr>
        <w:t>ких-либо затрат для правообладателей.</w:t>
      </w:r>
    </w:p>
    <w:p w:rsidR="002B07A2" w:rsidRDefault="007E274A">
      <w:pPr>
        <w:pStyle w:val="af2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«По итогам прошедшего года, комплексные кадастровые работы выполнены в полном объеме. По результатам работ в Единый государственный реестр недвижимости внесены сведения о более чем 5 000 объектов недвижимости, исправле</w:t>
      </w:r>
      <w:r>
        <w:rPr>
          <w:i/>
          <w:sz w:val="28"/>
          <w:szCs w:val="28"/>
        </w:rPr>
        <w:t>ны реестровые ошибки в отношении порядка 3 000объектов недвижимости.</w:t>
      </w:r>
      <w:r w:rsidR="00A950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2025 году запланированные объемы выполнения комплексных кадастровых работ на территории Омской области значительно увеличены. Они будут осуществляться с привлечением средств федерального</w:t>
      </w:r>
      <w:r>
        <w:rPr>
          <w:i/>
          <w:sz w:val="28"/>
          <w:szCs w:val="28"/>
        </w:rPr>
        <w:t xml:space="preserve"> и местных бюджетов, где заказчиками</w:t>
      </w:r>
      <w:r w:rsidR="00A950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выступают Росреестр и органы местного самоуправления.</w:t>
      </w:r>
      <w:r w:rsidR="00A950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Планируется проведение ККР в границах 142 кадастровых кварталов, расположенных в городах Омске, Калачинске и Называевске, а также в Омском муниципальном районе»,</w:t>
      </w:r>
      <w:r>
        <w:rPr>
          <w:sz w:val="28"/>
          <w:szCs w:val="28"/>
        </w:rPr>
        <w:t>– отме</w:t>
      </w:r>
      <w:r>
        <w:rPr>
          <w:sz w:val="28"/>
          <w:szCs w:val="28"/>
        </w:rPr>
        <w:t xml:space="preserve">тил заместитель руководителя Управления Росреестра по Омской области </w:t>
      </w:r>
      <w:r>
        <w:rPr>
          <w:b/>
          <w:sz w:val="28"/>
          <w:szCs w:val="28"/>
        </w:rPr>
        <w:t xml:space="preserve">Владимир Созонтов.  </w:t>
      </w:r>
    </w:p>
    <w:p w:rsidR="002B07A2" w:rsidRDefault="007E274A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 и организации</w:t>
      </w:r>
      <w:r w:rsidR="00A95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информируются о начале проведения комплексных кадастровых работ путем размещения извещений на официальных сайтах и информационных щитах органов </w:t>
      </w:r>
      <w:r>
        <w:rPr>
          <w:sz w:val="28"/>
          <w:szCs w:val="28"/>
        </w:rPr>
        <w:t xml:space="preserve">местного самоуправления муниципального округа, на территории которого планируется выполнение таких работ, а также на официальном сайте Росреестра по адресу: </w:t>
      </w:r>
      <w:hyperlink r:id="rId6" w:tooltip="https://rosreestr.gov.ru/" w:history="1">
        <w:r>
          <w:rPr>
            <w:rStyle w:val="af3"/>
            <w:color w:val="auto"/>
            <w:sz w:val="28"/>
            <w:szCs w:val="28"/>
            <w:u w:val="none"/>
          </w:rPr>
          <w:t>https://rosreestr.gov.ru</w:t>
        </w:r>
      </w:hyperlink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региональном подразделе «Открытая служба/Статистикаи аналитика/Омская область/ Комплексные кадастровые работы». Также информация о комплексных кадастровых работах в обязательном порядке отображается на портале пространственных данных «Национальная система </w:t>
      </w:r>
      <w:r>
        <w:rPr>
          <w:sz w:val="28"/>
          <w:szCs w:val="28"/>
        </w:rPr>
        <w:t>пространственных данных»(</w:t>
      </w:r>
      <w:hyperlink r:id="rId7" w:tooltip="https://nspd.gov.ru" w:history="1">
        <w:r>
          <w:rPr>
            <w:rStyle w:val="af3"/>
            <w:color w:val="auto"/>
            <w:sz w:val="28"/>
            <w:szCs w:val="28"/>
            <w:u w:val="none"/>
          </w:rPr>
          <w:t>http</w:t>
        </w:r>
        <w:r>
          <w:rPr>
            <w:rStyle w:val="af3"/>
            <w:color w:val="auto"/>
            <w:sz w:val="28"/>
            <w:szCs w:val="28"/>
            <w:u w:val="none"/>
            <w:lang w:val="en-US"/>
          </w:rPr>
          <w:t>s</w:t>
        </w:r>
        <w:r>
          <w:rPr>
            <w:rStyle w:val="af3"/>
            <w:color w:val="auto"/>
            <w:sz w:val="28"/>
            <w:szCs w:val="28"/>
            <w:u w:val="none"/>
          </w:rPr>
          <w:t>://nspd.gov.ru</w:t>
        </w:r>
      </w:hyperlink>
      <w:r>
        <w:rPr>
          <w:sz w:val="28"/>
          <w:szCs w:val="28"/>
        </w:rPr>
        <w:t>), где в разделе «Публичная кадастровая карта»можно узнать информацию о контракте, заказчике и исполнителе работ.</w:t>
      </w:r>
    </w:p>
    <w:p w:rsidR="002B07A2" w:rsidRDefault="007E274A">
      <w:pPr>
        <w:pStyle w:val="af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комплексных кадастровых рабо</w:t>
      </w:r>
      <w:r>
        <w:rPr>
          <w:color w:val="000000" w:themeColor="text1"/>
          <w:sz w:val="28"/>
          <w:szCs w:val="28"/>
        </w:rPr>
        <w:t xml:space="preserve">т, которые реализуются сейчас в рамках госпрограммы «Национальная система пространственных данных» и своей целью ставят </w:t>
      </w:r>
      <w:r>
        <w:rPr>
          <w:color w:val="000000" w:themeColor="text1"/>
          <w:spacing w:val="-4"/>
          <w:sz w:val="28"/>
          <w:szCs w:val="28"/>
        </w:rPr>
        <w:t>достижение к 2030 году наполняемости ЕГРН в объеме не менее 95%, позволит</w:t>
      </w:r>
      <w:r>
        <w:rPr>
          <w:color w:val="000000" w:themeColor="text1"/>
          <w:sz w:val="28"/>
          <w:szCs w:val="28"/>
        </w:rPr>
        <w:t xml:space="preserve"> уточнить границы земельных участков, актуализировать и упорядочить сведения ЕГРН, сократить количество реестровых ошибок.</w:t>
      </w:r>
    </w:p>
    <w:p w:rsidR="002B07A2" w:rsidRDefault="002B07A2">
      <w:pPr>
        <w:pStyle w:val="af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B07A2" w:rsidRDefault="002B07A2">
      <w:pPr>
        <w:pStyle w:val="af2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2B07A2" w:rsidRDefault="007E274A">
      <w:pPr>
        <w:pStyle w:val="af2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Пресс-служба Управления Росреестра по Омской области</w:t>
      </w:r>
    </w:p>
    <w:sectPr w:rsidR="002B07A2" w:rsidSect="002B07A2">
      <w:pgSz w:w="11907" w:h="1683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4A" w:rsidRDefault="007E274A">
      <w:pPr>
        <w:spacing w:after="0" w:line="240" w:lineRule="auto"/>
      </w:pPr>
      <w:r>
        <w:separator/>
      </w:r>
    </w:p>
  </w:endnote>
  <w:endnote w:type="continuationSeparator" w:id="1">
    <w:p w:rsidR="007E274A" w:rsidRDefault="007E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4A" w:rsidRDefault="007E274A">
      <w:pPr>
        <w:spacing w:after="0" w:line="240" w:lineRule="auto"/>
      </w:pPr>
      <w:r>
        <w:separator/>
      </w:r>
    </w:p>
  </w:footnote>
  <w:footnote w:type="continuationSeparator" w:id="1">
    <w:p w:rsidR="007E274A" w:rsidRDefault="007E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A2"/>
    <w:rsid w:val="002B07A2"/>
    <w:rsid w:val="007E274A"/>
    <w:rsid w:val="00A9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07A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B07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07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B07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07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B07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07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B07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07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B07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07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B07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07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B07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07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B07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07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B07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B07A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B07A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7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07A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7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07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07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B07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B07A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B0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B07A2"/>
  </w:style>
  <w:style w:type="paragraph" w:customStyle="1" w:styleId="Footer">
    <w:name w:val="Footer"/>
    <w:basedOn w:val="a"/>
    <w:link w:val="CaptionChar"/>
    <w:uiPriority w:val="99"/>
    <w:unhideWhenUsed/>
    <w:rsid w:val="002B0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B07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07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B07A2"/>
  </w:style>
  <w:style w:type="table" w:customStyle="1" w:styleId="TableGridLight">
    <w:name w:val="Table Grid Light"/>
    <w:basedOn w:val="a1"/>
    <w:uiPriority w:val="59"/>
    <w:rsid w:val="002B0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0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B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0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B07A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B07A2"/>
    <w:rPr>
      <w:sz w:val="18"/>
    </w:rPr>
  </w:style>
  <w:style w:type="character" w:styleId="ac">
    <w:name w:val="footnote reference"/>
    <w:basedOn w:val="a0"/>
    <w:uiPriority w:val="99"/>
    <w:unhideWhenUsed/>
    <w:rsid w:val="002B07A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B07A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B07A2"/>
    <w:rPr>
      <w:sz w:val="20"/>
    </w:rPr>
  </w:style>
  <w:style w:type="character" w:styleId="af">
    <w:name w:val="endnote reference"/>
    <w:basedOn w:val="a0"/>
    <w:uiPriority w:val="99"/>
    <w:semiHidden/>
    <w:unhideWhenUsed/>
    <w:rsid w:val="002B07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B07A2"/>
    <w:pPr>
      <w:spacing w:after="57"/>
    </w:pPr>
  </w:style>
  <w:style w:type="paragraph" w:styleId="21">
    <w:name w:val="toc 2"/>
    <w:basedOn w:val="a"/>
    <w:next w:val="a"/>
    <w:uiPriority w:val="39"/>
    <w:unhideWhenUsed/>
    <w:rsid w:val="002B07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B07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B07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07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07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07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07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07A2"/>
    <w:pPr>
      <w:spacing w:after="57"/>
      <w:ind w:left="2268"/>
    </w:pPr>
  </w:style>
  <w:style w:type="paragraph" w:styleId="af0">
    <w:name w:val="TOC Heading"/>
    <w:uiPriority w:val="39"/>
    <w:unhideWhenUsed/>
    <w:rsid w:val="002B07A2"/>
  </w:style>
  <w:style w:type="paragraph" w:styleId="af1">
    <w:name w:val="table of figures"/>
    <w:basedOn w:val="a"/>
    <w:next w:val="a"/>
    <w:uiPriority w:val="99"/>
    <w:unhideWhenUsed/>
    <w:rsid w:val="002B07A2"/>
    <w:pPr>
      <w:spacing w:after="0"/>
    </w:pPr>
  </w:style>
  <w:style w:type="paragraph" w:styleId="af2">
    <w:name w:val="Normal (Web)"/>
    <w:basedOn w:val="a"/>
    <w:uiPriority w:val="99"/>
    <w:unhideWhenUsed/>
    <w:rsid w:val="002B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2B07A2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2B07A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B07A2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99"/>
    <w:qFormat/>
    <w:rsid w:val="002B07A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B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B07A2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59"/>
    <w:rsid w:val="002B07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d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Use</cp:lastModifiedBy>
  <cp:revision>101</cp:revision>
  <dcterms:created xsi:type="dcterms:W3CDTF">2024-07-02T08:19:00Z</dcterms:created>
  <dcterms:modified xsi:type="dcterms:W3CDTF">2025-02-26T04:52:00Z</dcterms:modified>
</cp:coreProperties>
</file>